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44D43" w14:textId="77777777" w:rsidR="00FD0D72" w:rsidRDefault="00000000">
      <w:pPr>
        <w:pStyle w:val="Heading1"/>
        <w:ind w:left="0" w:firstLine="0"/>
      </w:pPr>
      <w:bookmarkStart w:id="0" w:name="_ru14z5hqlloe" w:colFirst="0" w:colLast="0"/>
      <w:bookmarkEnd w:id="0"/>
      <w:r>
        <w:t>Product sheet</w:t>
      </w:r>
    </w:p>
    <w:p w14:paraId="5D64C1AE" w14:textId="77777777" w:rsidR="00FD0D72" w:rsidRDefault="00000000">
      <w:pPr>
        <w:pStyle w:val="Title"/>
      </w:pPr>
      <w:bookmarkStart w:id="1" w:name="_wo02ts6b5t10" w:colFirst="0" w:colLast="0"/>
      <w:bookmarkEnd w:id="1"/>
      <w:r>
        <w:t>Gabi Pediarity for research</w:t>
      </w:r>
    </w:p>
    <w:p w14:paraId="7D670ED8" w14:textId="77777777" w:rsidR="00FD0D72" w:rsidRDefault="00000000">
      <w:pPr>
        <w:pStyle w:val="Heading2"/>
        <w:ind w:left="0" w:firstLine="0"/>
      </w:pPr>
      <w:bookmarkStart w:id="2" w:name="_acqrbb1vg4p3" w:colFirst="0" w:colLast="0"/>
      <w:bookmarkEnd w:id="2"/>
      <w:r>
        <w:t>What is Gabi Pediarity?</w:t>
      </w:r>
    </w:p>
    <w:p w14:paraId="75B15E1D" w14:textId="77777777" w:rsidR="00FD0D72" w:rsidRDefault="00000000">
      <w:r>
        <w:t>Gabi Pediarity is a comprehensive solution to record and collect health data from the pediatric population from 0-12 years old. While initially designed for pediatrics, the solution works on older children and on adults.</w:t>
      </w:r>
    </w:p>
    <w:p w14:paraId="30748316" w14:textId="77777777" w:rsidR="00FD0D72" w:rsidRDefault="00FD0D72"/>
    <w:p w14:paraId="00D5A2E9" w14:textId="77777777" w:rsidR="00FD0D72" w:rsidRDefault="00000000">
      <w:r>
        <w:t>Gabi Pediarity is composed by:</w:t>
      </w:r>
    </w:p>
    <w:p w14:paraId="1ED775CD" w14:textId="77777777" w:rsidR="00FD0D72" w:rsidRDefault="00000000">
      <w:pPr>
        <w:numPr>
          <w:ilvl w:val="0"/>
          <w:numId w:val="4"/>
        </w:numPr>
      </w:pPr>
      <w:r>
        <w:t xml:space="preserve">The Gabi Band: A sensor to collect and interpret biometric signals and send over Bluetooth Low Energy to Gabi Monitor. The Gabi Band is fitted on the </w:t>
      </w:r>
      <w:proofErr w:type="gramStart"/>
      <w:r>
        <w:t>upper-arm</w:t>
      </w:r>
      <w:proofErr w:type="gramEnd"/>
      <w:r>
        <w:t xml:space="preserve"> of the participant.</w:t>
      </w:r>
    </w:p>
    <w:p w14:paraId="4ACEF2F2" w14:textId="77777777" w:rsidR="00FD0D72" w:rsidRDefault="00000000">
      <w:pPr>
        <w:numPr>
          <w:ilvl w:val="0"/>
          <w:numId w:val="4"/>
        </w:numPr>
      </w:pPr>
      <w:r>
        <w:t xml:space="preserve">The Gabi Monitor: A dedicated tablet with the Gabi Monitor App to collect the data from the Gabi Band and send it over </w:t>
      </w:r>
      <w:proofErr w:type="spellStart"/>
      <w:r>
        <w:t>WiFi</w:t>
      </w:r>
      <w:proofErr w:type="spellEnd"/>
      <w:r>
        <w:t xml:space="preserve"> on the Gabi Cloud.</w:t>
      </w:r>
    </w:p>
    <w:p w14:paraId="004AF91C" w14:textId="77777777" w:rsidR="00FD0D72" w:rsidRDefault="00000000">
      <w:pPr>
        <w:numPr>
          <w:ilvl w:val="0"/>
          <w:numId w:val="4"/>
        </w:numPr>
      </w:pPr>
      <w:r>
        <w:t>The Gabi Cloud: A secured cloud environment to store and consolidate the collected data.</w:t>
      </w:r>
    </w:p>
    <w:p w14:paraId="5743521B" w14:textId="77777777" w:rsidR="00FD0D72" w:rsidRDefault="00000000">
      <w:pPr>
        <w:numPr>
          <w:ilvl w:val="0"/>
          <w:numId w:val="4"/>
        </w:numPr>
      </w:pPr>
      <w:r>
        <w:t>The Gabi Analytics: A web portal to visualize the collected data and the trends.</w:t>
      </w:r>
    </w:p>
    <w:p w14:paraId="4CB1B2B8" w14:textId="77777777" w:rsidR="00FD0D72" w:rsidRDefault="00000000">
      <w:pPr>
        <w:pStyle w:val="Heading2"/>
        <w:ind w:left="0" w:firstLine="0"/>
      </w:pPr>
      <w:bookmarkStart w:id="3" w:name="_1vlab9ppzit7" w:colFirst="0" w:colLast="0"/>
      <w:bookmarkEnd w:id="3"/>
      <w:r>
        <w:t>What’s in the box?</w:t>
      </w:r>
    </w:p>
    <w:p w14:paraId="58222E0F" w14:textId="77777777" w:rsidR="00FD0D72" w:rsidRDefault="00000000">
      <w:r>
        <w:t>The Gabi kit is composed by:</w:t>
      </w:r>
    </w:p>
    <w:p w14:paraId="324DE0E6" w14:textId="77777777" w:rsidR="00FD0D72" w:rsidRDefault="00000000">
      <w:pPr>
        <w:numPr>
          <w:ilvl w:val="0"/>
          <w:numId w:val="1"/>
        </w:numPr>
      </w:pPr>
      <w:r>
        <w:t>The Gabi Band (the sensor unit).</w:t>
      </w:r>
    </w:p>
    <w:p w14:paraId="70B99D29" w14:textId="77777777" w:rsidR="00FD0D72" w:rsidRDefault="00000000">
      <w:pPr>
        <w:numPr>
          <w:ilvl w:val="0"/>
          <w:numId w:val="1"/>
        </w:numPr>
      </w:pPr>
      <w:r>
        <w:t>4 textile bracelets (S, M, L and XL) to adapt to the different morphology.</w:t>
      </w:r>
    </w:p>
    <w:p w14:paraId="1BCF2449" w14:textId="77777777" w:rsidR="00FD0D72" w:rsidRDefault="00000000">
      <w:pPr>
        <w:numPr>
          <w:ilvl w:val="0"/>
          <w:numId w:val="1"/>
        </w:numPr>
      </w:pPr>
      <w:r>
        <w:t>The Gabi Monitor tablet with the Gabi Monitor App pre-installed.</w:t>
      </w:r>
    </w:p>
    <w:p w14:paraId="74AFB7B1" w14:textId="77777777" w:rsidR="00FD0D72" w:rsidRDefault="00000000">
      <w:pPr>
        <w:numPr>
          <w:ilvl w:val="0"/>
          <w:numId w:val="1"/>
        </w:numPr>
      </w:pPr>
      <w:r>
        <w:t>2x USB cables (for the band and the tablet).</w:t>
      </w:r>
    </w:p>
    <w:p w14:paraId="142703D4" w14:textId="77777777" w:rsidR="00FD0D72" w:rsidRDefault="00000000">
      <w:pPr>
        <w:numPr>
          <w:ilvl w:val="0"/>
          <w:numId w:val="1"/>
        </w:numPr>
      </w:pPr>
      <w:r>
        <w:t>2x USB charger for power outlet.</w:t>
      </w:r>
    </w:p>
    <w:p w14:paraId="37CA9F87" w14:textId="77777777" w:rsidR="00FD0D72" w:rsidRDefault="00000000">
      <w:pPr>
        <w:pStyle w:val="Heading2"/>
        <w:ind w:left="0" w:firstLine="0"/>
      </w:pPr>
      <w:bookmarkStart w:id="4" w:name="_h8081n3kkwp0" w:colFirst="0" w:colLast="0"/>
      <w:bookmarkEnd w:id="4"/>
      <w:r>
        <w:t>Health data collected</w:t>
      </w:r>
    </w:p>
    <w:p w14:paraId="7356CAC4" w14:textId="77777777" w:rsidR="00FD0D72" w:rsidRDefault="00FD0D72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1635"/>
        <w:gridCol w:w="1935"/>
        <w:gridCol w:w="3840"/>
      </w:tblGrid>
      <w:tr w:rsidR="00FD0D72" w14:paraId="0E4C5CCF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DC167" w14:textId="77777777" w:rsidR="00FD0D72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Vital signs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18488" w14:textId="77777777" w:rsidR="00FD0D72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Range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60F67" w14:textId="77777777" w:rsidR="00FD0D72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9AC86" w14:textId="77777777" w:rsidR="00FD0D72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Frequency</w:t>
            </w:r>
          </w:p>
        </w:tc>
      </w:tr>
      <w:tr w:rsidR="00FD0D72" w14:paraId="22A06A42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139A8" w14:textId="77777777" w:rsidR="00FD0D72" w:rsidRDefault="00000000">
            <w:pPr>
              <w:widowControl w:val="0"/>
              <w:spacing w:line="240" w:lineRule="auto"/>
            </w:pPr>
            <w:r>
              <w:t>Pulse rate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DAE4F" w14:textId="77777777" w:rsidR="00FD0D72" w:rsidRDefault="00000000">
            <w:pPr>
              <w:widowControl w:val="0"/>
              <w:spacing w:line="240" w:lineRule="auto"/>
            </w:pPr>
            <w:r>
              <w:t>25 to 250 bpm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4E317" w14:textId="77777777" w:rsidR="00FD0D72" w:rsidRDefault="00000000">
            <w:pPr>
              <w:widowControl w:val="0"/>
              <w:spacing w:line="240" w:lineRule="auto"/>
            </w:pPr>
            <w:r>
              <w:t>±3 bpm RMSE (*)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8D3C1" w14:textId="77777777" w:rsidR="00FD0D72" w:rsidRDefault="00000000">
            <w:pPr>
              <w:widowControl w:val="0"/>
              <w:spacing w:line="240" w:lineRule="auto"/>
            </w:pPr>
            <w:r>
              <w:t>1 data point per sec</w:t>
            </w:r>
          </w:p>
        </w:tc>
      </w:tr>
      <w:tr w:rsidR="00FD0D72" w14:paraId="7DA11B27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922F7" w14:textId="77777777" w:rsidR="00FD0D72" w:rsidRDefault="00000000">
            <w:pPr>
              <w:widowControl w:val="0"/>
              <w:spacing w:line="240" w:lineRule="auto"/>
            </w:pPr>
            <w:r>
              <w:t>SpO2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F5864" w14:textId="77777777" w:rsidR="00FD0D72" w:rsidRDefault="00000000">
            <w:pPr>
              <w:widowControl w:val="0"/>
              <w:spacing w:line="240" w:lineRule="auto"/>
            </w:pPr>
            <w:r>
              <w:t>50 to 100%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EB525" w14:textId="77777777" w:rsidR="00FD0D72" w:rsidRDefault="00000000">
            <w:pPr>
              <w:widowControl w:val="0"/>
              <w:spacing w:line="240" w:lineRule="auto"/>
            </w:pPr>
            <w:r>
              <w:t>±3.5% RMSE (*)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8047D" w14:textId="77777777" w:rsidR="00FD0D72" w:rsidRDefault="00000000">
            <w:pPr>
              <w:widowControl w:val="0"/>
              <w:spacing w:line="240" w:lineRule="auto"/>
            </w:pPr>
            <w:r>
              <w:t>1 data point per sec</w:t>
            </w:r>
          </w:p>
        </w:tc>
      </w:tr>
      <w:tr w:rsidR="00FD0D72" w14:paraId="12814C1A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AF04" w14:textId="77777777" w:rsidR="00FD0D72" w:rsidRDefault="00000000">
            <w:pPr>
              <w:widowControl w:val="0"/>
              <w:spacing w:line="240" w:lineRule="auto"/>
            </w:pPr>
            <w:r>
              <w:t>Respiratory rate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EC10" w14:textId="77777777" w:rsidR="00FD0D72" w:rsidRDefault="00000000">
            <w:pPr>
              <w:widowControl w:val="0"/>
              <w:spacing w:line="240" w:lineRule="auto"/>
            </w:pPr>
            <w:r>
              <w:t xml:space="preserve">3 to 70 </w:t>
            </w:r>
            <w:proofErr w:type="spellStart"/>
            <w:r>
              <w:t>BrPM</w:t>
            </w:r>
            <w:proofErr w:type="spellEnd"/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E2A2E" w14:textId="77777777" w:rsidR="00FD0D72" w:rsidRDefault="00000000">
            <w:pPr>
              <w:widowControl w:val="0"/>
              <w:spacing w:line="240" w:lineRule="auto"/>
            </w:pPr>
            <w:r>
              <w:t xml:space="preserve">± 3 </w:t>
            </w:r>
            <w:proofErr w:type="spellStart"/>
            <w:r>
              <w:t>BrPM</w:t>
            </w:r>
            <w:proofErr w:type="spellEnd"/>
            <w:r>
              <w:t xml:space="preserve"> RMSE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51707" w14:textId="77777777" w:rsidR="00FD0D72" w:rsidRDefault="00000000">
            <w:pPr>
              <w:widowControl w:val="0"/>
              <w:spacing w:line="240" w:lineRule="auto"/>
            </w:pPr>
            <w:r>
              <w:t>1 data point per sec</w:t>
            </w:r>
          </w:p>
        </w:tc>
      </w:tr>
      <w:tr w:rsidR="00FD0D72" w14:paraId="2EC4D45B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12BC9" w14:textId="77777777" w:rsidR="00FD0D72" w:rsidRDefault="00000000">
            <w:pPr>
              <w:widowControl w:val="0"/>
              <w:spacing w:line="240" w:lineRule="auto"/>
            </w:pPr>
            <w:r>
              <w:lastRenderedPageBreak/>
              <w:t>Skin temperature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96330" w14:textId="77777777" w:rsidR="00FD0D72" w:rsidRDefault="00000000">
            <w:pPr>
              <w:widowControl w:val="0"/>
              <w:spacing w:line="240" w:lineRule="auto"/>
            </w:pPr>
            <w:r>
              <w:t>0 to 50°C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EDF84" w14:textId="77777777" w:rsidR="00FD0D72" w:rsidRDefault="00000000">
            <w:pPr>
              <w:widowControl w:val="0"/>
              <w:spacing w:line="240" w:lineRule="auto"/>
            </w:pPr>
            <w:r>
              <w:t>± 0.01°C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16B78" w14:textId="77777777" w:rsidR="00FD0D72" w:rsidRDefault="00000000">
            <w:pPr>
              <w:widowControl w:val="0"/>
              <w:spacing w:line="240" w:lineRule="auto"/>
            </w:pPr>
            <w:r>
              <w:t>1 data point per 5 sec</w:t>
            </w:r>
          </w:p>
        </w:tc>
      </w:tr>
      <w:tr w:rsidR="00FD0D72" w14:paraId="60B6915D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36C5E" w14:textId="77777777" w:rsidR="00FD0D72" w:rsidRDefault="00000000">
            <w:pPr>
              <w:widowControl w:val="0"/>
              <w:spacing w:line="240" w:lineRule="auto"/>
            </w:pPr>
            <w:r>
              <w:t>Actigraphy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12CAA" w14:textId="77777777" w:rsidR="00FD0D72" w:rsidRDefault="00000000">
            <w:pPr>
              <w:widowControl w:val="0"/>
              <w:spacing w:line="240" w:lineRule="auto"/>
            </w:pPr>
            <w:r>
              <w:t>0 to 2G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B396B" w14:textId="77777777" w:rsidR="00FD0D72" w:rsidRDefault="00000000">
            <w:pPr>
              <w:widowControl w:val="0"/>
              <w:spacing w:line="240" w:lineRule="auto"/>
            </w:pPr>
            <w:r>
              <w:t>±0.001G</w:t>
            </w:r>
          </w:p>
        </w:tc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69889" w14:textId="77777777" w:rsidR="00FD0D72" w:rsidRDefault="00000000">
            <w:pPr>
              <w:widowControl w:val="0"/>
              <w:spacing w:line="240" w:lineRule="auto"/>
            </w:pPr>
            <w:r>
              <w:t xml:space="preserve">3 data points (X, Y, Z) per 100 </w:t>
            </w:r>
            <w:proofErr w:type="spellStart"/>
            <w:r>
              <w:t>ms</w:t>
            </w:r>
            <w:proofErr w:type="spellEnd"/>
          </w:p>
        </w:tc>
      </w:tr>
    </w:tbl>
    <w:p w14:paraId="56F39592" w14:textId="77777777" w:rsidR="00FD0D72" w:rsidRDefault="00FD0D72"/>
    <w:p w14:paraId="59BDD462" w14:textId="77777777" w:rsidR="00FD0D72" w:rsidRDefault="00000000">
      <w:r>
        <w:t>(*) FDA cleared signal processing algorithm</w:t>
      </w:r>
    </w:p>
    <w:p w14:paraId="6289A557" w14:textId="77777777" w:rsidR="00FD0D72" w:rsidRDefault="00000000">
      <w:pPr>
        <w:pStyle w:val="Heading2"/>
        <w:ind w:left="0" w:firstLine="0"/>
      </w:pPr>
      <w:bookmarkStart w:id="5" w:name="_men7931n9bcd" w:colFirst="0" w:colLast="0"/>
      <w:bookmarkEnd w:id="5"/>
      <w:r>
        <w:t>Battery life</w:t>
      </w:r>
    </w:p>
    <w:p w14:paraId="5598F077" w14:textId="77777777" w:rsidR="00FD0D72" w:rsidRDefault="00000000">
      <w:r>
        <w:t>The Gabi Band is designed to record and stream data for 18+ hours. However, the Gabi Band has been tested for up to 60+ hours. It takes about 1 hour to recharge a fully depleted Gabi Band.</w:t>
      </w:r>
    </w:p>
    <w:p w14:paraId="674DFAB7" w14:textId="77777777" w:rsidR="00FD0D72" w:rsidRDefault="00FD0D72"/>
    <w:p w14:paraId="3598377E" w14:textId="77777777" w:rsidR="00FD0D72" w:rsidRDefault="00000000">
      <w:r>
        <w:t>The Gabi Monitor tablet is designed to record data for 8+ hours. However, the Gabi Monitor tablet has been tested for up to 19+ hours. It takes about 4 hours to recharge a fully depleted Gabi Tablet. During the recording, it is preferable to keep the tablet plugged on the power outlet.</w:t>
      </w:r>
    </w:p>
    <w:p w14:paraId="2B959DAA" w14:textId="77777777" w:rsidR="00FD0D72" w:rsidRDefault="00000000">
      <w:pPr>
        <w:pStyle w:val="Heading2"/>
        <w:ind w:left="0" w:firstLine="0"/>
      </w:pPr>
      <w:bookmarkStart w:id="6" w:name="_buy9wqz8euh0" w:colFirst="0" w:colLast="0"/>
      <w:bookmarkEnd w:id="6"/>
      <w:r>
        <w:t>Wireless communication</w:t>
      </w:r>
    </w:p>
    <w:p w14:paraId="25CE41C6" w14:textId="77777777" w:rsidR="00FD0D72" w:rsidRDefault="00000000">
      <w:r>
        <w:t xml:space="preserve">The Gabi Band sends the collected data by streaming to the Gabi Monitor tablet. The data is sent over Bluetooth Low Energy (BLE) 4.2. The range is about 23 </w:t>
      </w:r>
      <w:proofErr w:type="spellStart"/>
      <w:r>
        <w:t>feets</w:t>
      </w:r>
      <w:proofErr w:type="spellEnd"/>
      <w:r>
        <w:t xml:space="preserve"> (7 meters).</w:t>
      </w:r>
    </w:p>
    <w:p w14:paraId="74BE198D" w14:textId="77777777" w:rsidR="00FD0D72" w:rsidRDefault="00FD0D72"/>
    <w:p w14:paraId="3BE72125" w14:textId="77777777" w:rsidR="00FD0D72" w:rsidRDefault="00000000">
      <w:r>
        <w:t xml:space="preserve">The Gabi Monitor tablet sends the collected data at the end of the recording to the Gabi Cloud. The data is sent over </w:t>
      </w:r>
      <w:proofErr w:type="spellStart"/>
      <w:r>
        <w:t>WiFi</w:t>
      </w:r>
      <w:proofErr w:type="spellEnd"/>
      <w:r>
        <w:t xml:space="preserve"> 2.4 GHz. The range is the classic </w:t>
      </w:r>
      <w:proofErr w:type="spellStart"/>
      <w:r>
        <w:t>WiFi</w:t>
      </w:r>
      <w:proofErr w:type="spellEnd"/>
      <w:r>
        <w:t xml:space="preserve"> 2.4 GHz range.</w:t>
      </w:r>
    </w:p>
    <w:p w14:paraId="2CEF6A13" w14:textId="77777777" w:rsidR="00FD0D72" w:rsidRDefault="00000000">
      <w:pPr>
        <w:pStyle w:val="Heading2"/>
        <w:ind w:left="0" w:firstLine="0"/>
      </w:pPr>
      <w:bookmarkStart w:id="7" w:name="_9zeho56jlcae" w:colFirst="0" w:colLast="0"/>
      <w:bookmarkEnd w:id="7"/>
      <w:r>
        <w:t>Offline data storage</w:t>
      </w:r>
    </w:p>
    <w:p w14:paraId="77C52860" w14:textId="77777777" w:rsidR="00FD0D72" w:rsidRDefault="00000000">
      <w:r>
        <w:t xml:space="preserve">The Gabi Band </w:t>
      </w:r>
      <w:proofErr w:type="gramStart"/>
      <w:r>
        <w:t>is able to</w:t>
      </w:r>
      <w:proofErr w:type="gramEnd"/>
      <w:r>
        <w:t xml:space="preserve"> store 8 hours of data without Bluetooth connectivity. This local offline storage is designed for recovery purposes only, not for normal operating conditions.</w:t>
      </w:r>
    </w:p>
    <w:p w14:paraId="61AAE408" w14:textId="77777777" w:rsidR="00FD0D72" w:rsidRDefault="00FD0D72"/>
    <w:p w14:paraId="73FAFC2B" w14:textId="77777777" w:rsidR="00FD0D72" w:rsidRDefault="00000000">
      <w:r>
        <w:t xml:space="preserve">The Gabi Monitor tablet </w:t>
      </w:r>
      <w:proofErr w:type="gramStart"/>
      <w:r>
        <w:t>is able to</w:t>
      </w:r>
      <w:proofErr w:type="gramEnd"/>
      <w:r>
        <w:t xml:space="preserve"> store 250+ nights without Internet connectivity.</w:t>
      </w:r>
    </w:p>
    <w:p w14:paraId="7EA8E1B9" w14:textId="77777777" w:rsidR="00FD0D72" w:rsidRDefault="00000000">
      <w:pPr>
        <w:pStyle w:val="Heading2"/>
        <w:ind w:left="0" w:firstLine="0"/>
      </w:pPr>
      <w:bookmarkStart w:id="8" w:name="_r0s60gfag6v" w:colFirst="0" w:colLast="0"/>
      <w:bookmarkEnd w:id="8"/>
      <w:r>
        <w:t>Data transfer &amp; export</w:t>
      </w:r>
    </w:p>
    <w:p w14:paraId="2FE869D3" w14:textId="77777777" w:rsidR="00FD0D72" w:rsidRDefault="00000000">
      <w:r>
        <w:t>All data is stored safely on Gabi cloud during the length of the study.</w:t>
      </w:r>
    </w:p>
    <w:p w14:paraId="0230819F" w14:textId="77777777" w:rsidR="00FD0D72" w:rsidRDefault="00FD0D72"/>
    <w:p w14:paraId="19E96C8F" w14:textId="77777777" w:rsidR="00FD0D72" w:rsidRDefault="00000000">
      <w:r>
        <w:t xml:space="preserve">There is one archive per participant per month or per day in the export. </w:t>
      </w:r>
    </w:p>
    <w:p w14:paraId="2AF65B7B" w14:textId="77777777" w:rsidR="00FD0D72" w:rsidRDefault="00FD0D72"/>
    <w:p w14:paraId="48204AA3" w14:textId="77777777" w:rsidR="00FD0D72" w:rsidRDefault="00000000">
      <w:proofErr w:type="gramStart"/>
      <w:r>
        <w:t>A</w:t>
      </w:r>
      <w:proofErr w:type="gramEnd"/>
      <w:r>
        <w:t xml:space="preserve"> exported file is a compressed archive composed by 4 files:</w:t>
      </w:r>
    </w:p>
    <w:p w14:paraId="19DC1799" w14:textId="77777777" w:rsidR="00FD0D72" w:rsidRDefault="00000000">
      <w:pPr>
        <w:numPr>
          <w:ilvl w:val="0"/>
          <w:numId w:val="2"/>
        </w:numPr>
      </w:pPr>
      <w:proofErr w:type="spellStart"/>
      <w:proofErr w:type="gramStart"/>
      <w:r>
        <w:rPr>
          <w:rFonts w:ascii="Courier New" w:eastAsia="Courier New" w:hAnsi="Courier New" w:cs="Courier New"/>
        </w:rPr>
        <w:t>dm.json</w:t>
      </w:r>
      <w:proofErr w:type="spellEnd"/>
      <w:proofErr w:type="gramEnd"/>
      <w:r>
        <w:t>: Meta data file containing general information about the archive.</w:t>
      </w:r>
    </w:p>
    <w:p w14:paraId="2B820DE4" w14:textId="77777777" w:rsidR="00FD0D72" w:rsidRDefault="00000000">
      <w:pPr>
        <w:numPr>
          <w:ilvl w:val="0"/>
          <w:numId w:val="2"/>
        </w:numPr>
      </w:pPr>
      <w:r>
        <w:rPr>
          <w:rFonts w:ascii="Courier New" w:eastAsia="Courier New" w:hAnsi="Courier New" w:cs="Courier New"/>
        </w:rPr>
        <w:t>plx.csv</w:t>
      </w:r>
      <w:r>
        <w:t>: CSV file containing vital signs with a reliability flag per vital sign.</w:t>
      </w:r>
    </w:p>
    <w:p w14:paraId="375BBE58" w14:textId="77777777" w:rsidR="00FD0D72" w:rsidRDefault="00000000">
      <w:pPr>
        <w:numPr>
          <w:ilvl w:val="0"/>
          <w:numId w:val="2"/>
        </w:numPr>
      </w:pPr>
      <w:r>
        <w:rPr>
          <w:rFonts w:ascii="Courier New" w:eastAsia="Courier New" w:hAnsi="Courier New" w:cs="Courier New"/>
        </w:rPr>
        <w:t>temperature.csv</w:t>
      </w:r>
      <w:r>
        <w:t>: CSV file containing the skin temperature.</w:t>
      </w:r>
    </w:p>
    <w:p w14:paraId="55A1F9A1" w14:textId="77777777" w:rsidR="00FD0D72" w:rsidRDefault="00000000">
      <w:pPr>
        <w:numPr>
          <w:ilvl w:val="0"/>
          <w:numId w:val="2"/>
        </w:numPr>
      </w:pPr>
      <w:r>
        <w:rPr>
          <w:rFonts w:ascii="Courier New" w:eastAsia="Courier New" w:hAnsi="Courier New" w:cs="Courier New"/>
        </w:rPr>
        <w:t>accs.csv</w:t>
      </w:r>
      <w:r>
        <w:t>: CSV file containing the actigraphy.</w:t>
      </w:r>
    </w:p>
    <w:p w14:paraId="41F27027" w14:textId="77777777" w:rsidR="00FD0D72" w:rsidRDefault="00FD0D72"/>
    <w:p w14:paraId="0CC559C5" w14:textId="77777777" w:rsidR="00FD0D72" w:rsidRDefault="00000000">
      <w:r>
        <w:lastRenderedPageBreak/>
        <w:t xml:space="preserve">The files can be sent over email or through drop on a cloud bucket (AWS, Azure, Google Cloud, </w:t>
      </w:r>
      <w:proofErr w:type="spellStart"/>
      <w:r>
        <w:t>etc</w:t>
      </w:r>
      <w:proofErr w:type="spellEnd"/>
      <w:r>
        <w:t>).</w:t>
      </w:r>
    </w:p>
    <w:p w14:paraId="0A1186A1" w14:textId="77777777" w:rsidR="00FD0D72" w:rsidRDefault="00FD0D72"/>
    <w:p w14:paraId="5D667A78" w14:textId="77777777" w:rsidR="00FD0D72" w:rsidRDefault="00000000">
      <w:r>
        <w:t>One night of recording represents approximately 0.25MB/hour compressed (2.5MB/hour uncompressed). All timestamps in the files are stored in UTC format.</w:t>
      </w:r>
    </w:p>
    <w:p w14:paraId="3F753F56" w14:textId="77777777" w:rsidR="00FD0D72" w:rsidRDefault="00000000">
      <w:pPr>
        <w:pStyle w:val="Heading2"/>
        <w:ind w:left="0" w:firstLine="0"/>
      </w:pPr>
      <w:bookmarkStart w:id="9" w:name="_ax2gwyfjjci1" w:colFirst="0" w:colLast="0"/>
      <w:bookmarkEnd w:id="9"/>
      <w:r>
        <w:t>Tests &amp; certifications</w:t>
      </w:r>
    </w:p>
    <w:tbl>
      <w:tblPr>
        <w:tblStyle w:val="a1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4155"/>
      </w:tblGrid>
      <w:tr w:rsidR="00FD0D72" w14:paraId="6ADAA973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B95BF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C6926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Standard</w:t>
            </w:r>
          </w:p>
        </w:tc>
      </w:tr>
      <w:tr w:rsidR="00FD0D72" w14:paraId="5DD4835B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807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Biocompatibility - Cytotoxicity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659EB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ISO 10993-5:2009</w:t>
            </w:r>
          </w:p>
        </w:tc>
      </w:tr>
      <w:tr w:rsidR="00FD0D72" w14:paraId="64A54987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024FB" w14:textId="77777777" w:rsidR="00FD0D72" w:rsidRDefault="00000000">
            <w:pPr>
              <w:widowControl w:val="0"/>
              <w:spacing w:line="240" w:lineRule="auto"/>
            </w:pPr>
            <w:r>
              <w:t>Biocompatibility - Sensitization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792BE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ISO 10993-10:2021</w:t>
            </w:r>
          </w:p>
        </w:tc>
      </w:tr>
      <w:tr w:rsidR="00FD0D72" w14:paraId="1132DF9B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BD53" w14:textId="77777777" w:rsidR="00FD0D72" w:rsidRDefault="00000000">
            <w:pPr>
              <w:widowControl w:val="0"/>
              <w:spacing w:line="240" w:lineRule="auto"/>
            </w:pPr>
            <w:r>
              <w:t>Biocompatibility - Irritation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E79A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ISO 10993-23:2021</w:t>
            </w:r>
          </w:p>
        </w:tc>
      </w:tr>
      <w:tr w:rsidR="00FD0D72" w14:paraId="2B5401FB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8FCEC" w14:textId="77777777" w:rsidR="00FD0D72" w:rsidRDefault="00000000">
            <w:pPr>
              <w:widowControl w:val="0"/>
              <w:spacing w:line="240" w:lineRule="auto"/>
            </w:pPr>
            <w:r>
              <w:t>Electrical Safety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CBBE" w14:textId="77777777" w:rsidR="00FD0D7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IEC 60601-1:2005/Amd2:2021</w:t>
            </w:r>
          </w:p>
        </w:tc>
      </w:tr>
      <w:tr w:rsidR="00FD0D72" w14:paraId="36BAD1EE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CB860" w14:textId="77777777" w:rsidR="00FD0D72" w:rsidRDefault="00000000">
            <w:pPr>
              <w:widowControl w:val="0"/>
              <w:spacing w:line="240" w:lineRule="auto"/>
            </w:pPr>
            <w:r>
              <w:t>Electrical Safety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A0B93" w14:textId="77777777" w:rsidR="00FD0D72" w:rsidRDefault="00000000">
            <w:pPr>
              <w:widowControl w:val="0"/>
              <w:spacing w:line="240" w:lineRule="auto"/>
            </w:pPr>
            <w:r>
              <w:t>IEC 60601-1-6:2010</w:t>
            </w:r>
          </w:p>
        </w:tc>
      </w:tr>
      <w:tr w:rsidR="00FD0D72" w14:paraId="2C2E3616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474E6" w14:textId="77777777" w:rsidR="00FD0D72" w:rsidRDefault="00000000">
            <w:pPr>
              <w:widowControl w:val="0"/>
              <w:spacing w:line="240" w:lineRule="auto"/>
            </w:pPr>
            <w:r>
              <w:t>Electrical Safety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56271" w14:textId="77777777" w:rsidR="00FD0D72" w:rsidRDefault="00000000">
            <w:pPr>
              <w:widowControl w:val="0"/>
              <w:spacing w:line="240" w:lineRule="auto"/>
            </w:pPr>
            <w:r>
              <w:t>ISO 80601-2-61:2017</w:t>
            </w:r>
          </w:p>
        </w:tc>
      </w:tr>
      <w:tr w:rsidR="00FD0D72" w14:paraId="6DFFF0CC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A3D7" w14:textId="77777777" w:rsidR="00FD0D72" w:rsidRDefault="00000000">
            <w:pPr>
              <w:widowControl w:val="0"/>
              <w:spacing w:line="240" w:lineRule="auto"/>
            </w:pPr>
            <w:r>
              <w:t>EMC Safety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32B45" w14:textId="77777777" w:rsidR="00FD0D72" w:rsidRDefault="00000000">
            <w:pPr>
              <w:widowControl w:val="0"/>
              <w:spacing w:line="240" w:lineRule="auto"/>
            </w:pPr>
            <w:r>
              <w:t>IEC 60601-1-2:2014/Amd1:2021</w:t>
            </w:r>
          </w:p>
        </w:tc>
      </w:tr>
      <w:tr w:rsidR="00FD0D72" w14:paraId="3AB1F40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5B02F" w14:textId="77777777" w:rsidR="00FD0D72" w:rsidRDefault="00000000">
            <w:pPr>
              <w:widowControl w:val="0"/>
              <w:spacing w:line="240" w:lineRule="auto"/>
            </w:pPr>
            <w:r>
              <w:t>Software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4A81B" w14:textId="77777777" w:rsidR="00FD0D72" w:rsidRDefault="00000000">
            <w:pPr>
              <w:widowControl w:val="0"/>
              <w:spacing w:line="240" w:lineRule="auto"/>
            </w:pPr>
            <w:r>
              <w:t>ISO 62304:2006/Amd1:2015</w:t>
            </w:r>
          </w:p>
        </w:tc>
      </w:tr>
      <w:tr w:rsidR="00FD0D72" w14:paraId="3D79311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B1FFC" w14:textId="77777777" w:rsidR="00FD0D72" w:rsidRDefault="00000000">
            <w:pPr>
              <w:widowControl w:val="0"/>
              <w:spacing w:line="240" w:lineRule="auto"/>
            </w:pPr>
            <w:r>
              <w:t>Usability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6DAEA" w14:textId="77777777" w:rsidR="00FD0D72" w:rsidRDefault="00000000">
            <w:pPr>
              <w:widowControl w:val="0"/>
              <w:spacing w:line="240" w:lineRule="auto"/>
            </w:pPr>
            <w:r>
              <w:t>IEC 62366-1:2015/Amd1:2020</w:t>
            </w:r>
          </w:p>
        </w:tc>
      </w:tr>
      <w:tr w:rsidR="00FD0D72" w14:paraId="03B2547B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C9FA9" w14:textId="77777777" w:rsidR="00FD0D72" w:rsidRDefault="00000000">
            <w:pPr>
              <w:widowControl w:val="0"/>
              <w:spacing w:line="240" w:lineRule="auto"/>
            </w:pPr>
            <w:r>
              <w:t>Performance - Accuracy of pulse oximeters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F69B" w14:textId="77777777" w:rsidR="00FD0D72" w:rsidRDefault="00000000">
            <w:pPr>
              <w:widowControl w:val="0"/>
              <w:spacing w:line="240" w:lineRule="auto"/>
            </w:pPr>
            <w:r>
              <w:t>ISO 80601-2-61:2017</w:t>
            </w:r>
          </w:p>
        </w:tc>
      </w:tr>
    </w:tbl>
    <w:p w14:paraId="6B5FA0B0" w14:textId="77777777" w:rsidR="00FD0D72" w:rsidRDefault="00000000">
      <w:pPr>
        <w:pStyle w:val="Heading2"/>
        <w:ind w:left="0" w:firstLine="0"/>
      </w:pPr>
      <w:bookmarkStart w:id="10" w:name="_ujh97zblmqvd" w:colFirst="0" w:colLast="0"/>
      <w:bookmarkEnd w:id="10"/>
      <w:r>
        <w:t>Data privacy &amp; security</w:t>
      </w:r>
    </w:p>
    <w:p w14:paraId="4EA46E02" w14:textId="77777777" w:rsidR="00FD0D72" w:rsidRDefault="00000000">
      <w:r>
        <w:t>Gabi Pediarity is GDPR and HIPAA compliant.</w:t>
      </w:r>
    </w:p>
    <w:p w14:paraId="151D1620" w14:textId="77777777" w:rsidR="00FD0D72" w:rsidRDefault="00FD0D72"/>
    <w:p w14:paraId="17E68379" w14:textId="77777777" w:rsidR="00FD0D72" w:rsidRDefault="00000000">
      <w:r>
        <w:t>Vulnerability scanning is performed every week. All components are tested through penetration testing by an independent company at least once a year.</w:t>
      </w:r>
    </w:p>
    <w:p w14:paraId="014E7521" w14:textId="77777777" w:rsidR="00FD0D72" w:rsidRDefault="00FD0D72"/>
    <w:p w14:paraId="39F020FF" w14:textId="77777777" w:rsidR="00FD0D72" w:rsidRDefault="00000000">
      <w:r>
        <w:t>All data is encrypted at rest and during transit according to state-of-the-art standards.</w:t>
      </w:r>
    </w:p>
    <w:p w14:paraId="4C2E9E58" w14:textId="77777777" w:rsidR="00FD0D72" w:rsidRDefault="00FD0D72"/>
    <w:p w14:paraId="337D74C1" w14:textId="77777777" w:rsidR="00FD0D72" w:rsidRDefault="00000000">
      <w:r>
        <w:t>At the first demand, all data concerning the study is deleted.</w:t>
      </w:r>
    </w:p>
    <w:p w14:paraId="6EF4E155" w14:textId="77777777" w:rsidR="00FD0D72" w:rsidRDefault="00FD0D72"/>
    <w:p w14:paraId="4375762F" w14:textId="77777777" w:rsidR="00FD0D72" w:rsidRDefault="00FD0D72"/>
    <w:sectPr w:rsidR="00FD0D7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8295E"/>
    <w:multiLevelType w:val="multilevel"/>
    <w:tmpl w:val="4B5A4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EF31D6"/>
    <w:multiLevelType w:val="multilevel"/>
    <w:tmpl w:val="4D3C8B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87183B"/>
    <w:multiLevelType w:val="multilevel"/>
    <w:tmpl w:val="8BE665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47469D8"/>
    <w:multiLevelType w:val="multilevel"/>
    <w:tmpl w:val="B3E4C0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82810104">
    <w:abstractNumId w:val="0"/>
  </w:num>
  <w:num w:numId="2" w16cid:durableId="1692412031">
    <w:abstractNumId w:val="1"/>
  </w:num>
  <w:num w:numId="3" w16cid:durableId="95709161">
    <w:abstractNumId w:val="3"/>
  </w:num>
  <w:num w:numId="4" w16cid:durableId="131100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D72"/>
    <w:rsid w:val="00031AE9"/>
    <w:rsid w:val="005A6ABF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A5F995"/>
  <w15:docId w15:val="{E87A33B1-4E33-DC40-8A94-132D9BF2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ind w:left="720" w:hanging="360"/>
      <w:outlineLvl w:val="0"/>
    </w:pPr>
    <w:rPr>
      <w:b/>
      <w:color w:val="C00000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ind w:left="1440" w:hanging="36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 w:line="240" w:lineRule="auto"/>
      <w:jc w:val="both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tabs>
        <w:tab w:val="left" w:pos="4052"/>
      </w:tabs>
      <w:spacing w:before="360" w:after="80" w:line="240" w:lineRule="auto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Staquet</cp:lastModifiedBy>
  <cp:revision>2</cp:revision>
  <dcterms:created xsi:type="dcterms:W3CDTF">2024-08-23T16:16:00Z</dcterms:created>
  <dcterms:modified xsi:type="dcterms:W3CDTF">2024-08-23T16:17:00Z</dcterms:modified>
</cp:coreProperties>
</file>